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478" w:rsidRDefault="00ED4478" w:rsidP="00ED4478">
      <w:pPr>
        <w:ind w:firstLine="708"/>
        <w:jc w:val="center"/>
        <w:rPr>
          <w:rFonts w:ascii="Cambria Math" w:hAnsi="Cambria Math"/>
          <w:sz w:val="48"/>
          <w:szCs w:val="48"/>
        </w:rPr>
      </w:pPr>
      <w:r>
        <w:rPr>
          <w:rFonts w:ascii="Cambria Math" w:hAnsi="Cambria Math"/>
          <w:sz w:val="48"/>
          <w:szCs w:val="48"/>
        </w:rPr>
        <w:t>La Legge 194/78</w:t>
      </w:r>
    </w:p>
    <w:p w:rsidR="00ED4478" w:rsidRPr="00ED4478" w:rsidRDefault="00ED4478" w:rsidP="00ED4478">
      <w:pPr>
        <w:ind w:firstLine="708"/>
        <w:jc w:val="center"/>
        <w:rPr>
          <w:rFonts w:ascii="Cambria Math" w:hAnsi="Cambria Math"/>
          <w:sz w:val="48"/>
          <w:szCs w:val="48"/>
        </w:rPr>
      </w:pPr>
      <w:r>
        <w:rPr>
          <w:rFonts w:ascii="Cambria Math" w:hAnsi="Cambria Math"/>
          <w:sz w:val="48"/>
          <w:szCs w:val="48"/>
        </w:rPr>
        <w:t>Alcune proposte dai GD per le Marche</w:t>
      </w:r>
    </w:p>
    <w:p w:rsidR="00ED4478" w:rsidRPr="00ED4478" w:rsidRDefault="00ED4478" w:rsidP="00D253E5">
      <w:pPr>
        <w:ind w:firstLine="708"/>
        <w:jc w:val="both"/>
        <w:rPr>
          <w:rFonts w:ascii="Cambria Math" w:hAnsi="Cambria Math"/>
          <w:sz w:val="24"/>
          <w:szCs w:val="24"/>
        </w:rPr>
      </w:pPr>
    </w:p>
    <w:p w:rsidR="00D253E5" w:rsidRPr="00ED4478" w:rsidRDefault="00D253E5" w:rsidP="00D253E5">
      <w:pPr>
        <w:ind w:firstLine="708"/>
        <w:jc w:val="both"/>
        <w:rPr>
          <w:rFonts w:ascii="Cambria Math" w:hAnsi="Cambria Math"/>
          <w:sz w:val="24"/>
          <w:szCs w:val="24"/>
        </w:rPr>
      </w:pPr>
      <w:r w:rsidRPr="00ED4478">
        <w:rPr>
          <w:rFonts w:ascii="Cambria Math" w:hAnsi="Cambria Math"/>
          <w:sz w:val="24"/>
          <w:szCs w:val="24"/>
        </w:rPr>
        <w:t>In questi ultimi mesi, sta tornando alla ribalta la discussione che vede come oggetto principale la Legge 194/78</w:t>
      </w:r>
      <w:r w:rsidRPr="00ED4478">
        <w:rPr>
          <w:rStyle w:val="Rimandonotaapidipagina"/>
          <w:rFonts w:ascii="Cambria Math" w:hAnsi="Cambria Math"/>
          <w:sz w:val="24"/>
          <w:szCs w:val="24"/>
        </w:rPr>
        <w:footnoteReference w:id="1"/>
      </w:r>
      <w:r w:rsidRPr="00ED4478">
        <w:rPr>
          <w:rFonts w:ascii="Cambria Math" w:hAnsi="Cambria Math"/>
          <w:sz w:val="24"/>
          <w:szCs w:val="24"/>
        </w:rPr>
        <w:t xml:space="preserve"> e la sua applicazione, che regola i casi in cui una donna può legittimamente richiedere di abortire. La legge fu considerata, 40 anni fa circa, una vittoria dei movimenti civili e progressisti, il risultato di una battaglia per i diritti della donna. Una battaglia che vide pieno riconoscimento in Italia già dal febbraio 1975, quando la Corte Costituzionale affermò con la sentenza 27/75</w:t>
      </w:r>
      <w:r w:rsidRPr="00ED4478">
        <w:rPr>
          <w:rStyle w:val="Rimandonotaapidipagina"/>
          <w:rFonts w:ascii="Cambria Math" w:hAnsi="Cambria Math"/>
          <w:sz w:val="24"/>
          <w:szCs w:val="24"/>
        </w:rPr>
        <w:footnoteReference w:id="2"/>
      </w:r>
      <w:r w:rsidRPr="00ED4478">
        <w:rPr>
          <w:rFonts w:ascii="Cambria Math" w:hAnsi="Cambria Math"/>
          <w:sz w:val="24"/>
          <w:szCs w:val="24"/>
        </w:rPr>
        <w:t xml:space="preserve"> che ricorrere all’aborto è conforme al diritto italiano; una battaglia che non finì con la promulgazione della legge nel 1978, ma che vide di fronte a sé ulteriori ostacoli, come il referendum abrogativo del 1981 proposto dal Movimento Per La Vita, in cui il voto per il No confermò la legittimazione popolare della legge.</w:t>
      </w:r>
    </w:p>
    <w:p w:rsidR="00D253E5" w:rsidRPr="00ED4478" w:rsidRDefault="00D253E5" w:rsidP="00D253E5">
      <w:pPr>
        <w:ind w:firstLine="708"/>
        <w:jc w:val="both"/>
        <w:rPr>
          <w:rFonts w:ascii="Cambria Math" w:hAnsi="Cambria Math"/>
          <w:sz w:val="24"/>
          <w:szCs w:val="24"/>
        </w:rPr>
      </w:pPr>
      <w:r w:rsidRPr="00ED4478">
        <w:rPr>
          <w:rFonts w:ascii="Cambria Math" w:hAnsi="Cambria Math"/>
          <w:sz w:val="24"/>
          <w:szCs w:val="24"/>
        </w:rPr>
        <w:t>Tuttavia, ad oggi l’accesso all’interruzione volontaria di gravidanza è decisamente difficoltosa. Nell’aprile 2014 il Comitato Europeo dei Diritti Sociali del Consiglio d’Europa rese pubblica una risoluzione del settembre 2013 che poneva sotto la lente d’ingrandimento l’Italia, ed in particolare proprio le Marche, dove in due ospedali (Jesi e Fermo) la totale assenza di medici non obiettori rendeva impossibile l’applicazione dell’IVG, in contravvenzione con l’Art. 11 della Carta Sociale Europea</w:t>
      </w:r>
      <w:r w:rsidRPr="00ED4478">
        <w:rPr>
          <w:rStyle w:val="Rimandonotaapidipagina"/>
          <w:rFonts w:ascii="Cambria Math" w:hAnsi="Cambria Math"/>
          <w:sz w:val="24"/>
          <w:szCs w:val="24"/>
        </w:rPr>
        <w:footnoteReference w:id="3"/>
      </w:r>
      <w:r w:rsidRPr="00ED4478">
        <w:rPr>
          <w:rFonts w:ascii="Cambria Math" w:hAnsi="Cambria Math"/>
          <w:sz w:val="24"/>
          <w:szCs w:val="24"/>
        </w:rPr>
        <w:t>. Richiamo che è stato rinnovato esattamente l’11 aprile 2016, in risposta ad un appello della CGIL</w:t>
      </w:r>
      <w:r w:rsidRPr="00ED4478">
        <w:rPr>
          <w:rStyle w:val="Rimandonotaapidipagina"/>
          <w:rFonts w:ascii="Cambria Math" w:hAnsi="Cambria Math"/>
          <w:sz w:val="24"/>
          <w:szCs w:val="24"/>
        </w:rPr>
        <w:footnoteReference w:id="4"/>
      </w:r>
      <w:r w:rsidRPr="00ED4478">
        <w:rPr>
          <w:rFonts w:ascii="Cambria Math" w:hAnsi="Cambria Math"/>
          <w:sz w:val="24"/>
          <w:szCs w:val="24"/>
        </w:rPr>
        <w:t xml:space="preserve"> sullo status del servizio, o meglio disservizio, dell’IVG in Italia. Il Consiglio d’Europa ravvisa due gravi irregolarità: “In Italia le donne che cercano accesso ai servizi di IVG continuano ad avere difficoltà nell’ottenere l’accesso a tali servizi nella pratica, nonostante quanto è previsto dalla legge 194/78” e “L’Italia discrimina i medici e il personale non medico che non si dichiara obiettore di coscienza, che sono vittime di diversi tipi di svantaggi diretti ed indiretti”. Praticamente, un disservizio che non solo penalizza le donne che richiedono di ricorrere all’aborto nel rispetto della 194, ma anche i medici non obiettori che verrebbero penalizzati sul posto di lavoro, in termini di carico di lavoro e prospettive di carriera, per il semplice motivo di rendersi disponibili ad attuare quanto prescritto dalla legge stessa.</w:t>
      </w:r>
    </w:p>
    <w:p w:rsidR="00ED4478" w:rsidRDefault="00D253E5" w:rsidP="00D253E5">
      <w:pPr>
        <w:ind w:firstLine="708"/>
        <w:jc w:val="both"/>
        <w:rPr>
          <w:rFonts w:ascii="Cambria Math" w:hAnsi="Cambria Math"/>
          <w:sz w:val="24"/>
          <w:szCs w:val="24"/>
        </w:rPr>
      </w:pPr>
      <w:r w:rsidRPr="00ED4478">
        <w:rPr>
          <w:rFonts w:ascii="Cambria Math" w:hAnsi="Cambria Math"/>
          <w:sz w:val="24"/>
          <w:szCs w:val="24"/>
        </w:rPr>
        <w:t xml:space="preserve">Una situazione semplicemente paradossale. Bisogna però mettere in chiaro fin da subito che non si tratta di una battaglia di diritti: il diritto all’autodeterminazione dell’individuo non è in discussione, sia che si tratti dell’autodeterminazione della coscienza morale del medico (da cui deriva l’obiezione di coscienza), sia che si tratti dell’autodeterminazione procreativa della donna (da cui deriva la richiesta di accesso all’IVG). Non si tratta nemmeno di rimettere in discussione la pratica abortiva in sé: non è un mistero che l’introduzione della L. 194/78 abbia a tutti gli effetti diminuito il numero complessivo di </w:t>
      </w:r>
      <w:r w:rsidRPr="00ED4478">
        <w:rPr>
          <w:rFonts w:ascii="Cambria Math" w:hAnsi="Cambria Math"/>
          <w:sz w:val="24"/>
          <w:szCs w:val="24"/>
        </w:rPr>
        <w:lastRenderedPageBreak/>
        <w:t xml:space="preserve">aborti in Italia, diminuendo in particolare il numero di aborti clandestini, che erano spesso praticati dalle cosiddette “mammane”, sotto lauto compenso, con mezzi assolutamente inidonei e, troppo spesso, a costo della vita della donna che vi si era rivolta in assenza di un’alternativa valida (per completezza di informazione: le cause di morte più comuni erano setticemia e dissanguamento, entrambe facilmente evitabili negli interventi </w:t>
      </w:r>
      <w:r w:rsidR="00ED4478">
        <w:rPr>
          <w:rFonts w:ascii="Cambria Math" w:hAnsi="Cambria Math"/>
          <w:sz w:val="24"/>
          <w:szCs w:val="24"/>
        </w:rPr>
        <w:t>abortivi eseguiti in ospedali).</w:t>
      </w:r>
    </w:p>
    <w:p w:rsidR="00D253E5" w:rsidRPr="00ED4478" w:rsidRDefault="00D253E5" w:rsidP="00ED4478">
      <w:pPr>
        <w:ind w:firstLine="708"/>
        <w:jc w:val="both"/>
        <w:rPr>
          <w:rFonts w:ascii="Cambria Math" w:hAnsi="Cambria Math"/>
          <w:sz w:val="24"/>
          <w:szCs w:val="24"/>
        </w:rPr>
      </w:pPr>
      <w:r w:rsidRPr="00ED4478">
        <w:rPr>
          <w:rFonts w:ascii="Cambria Math" w:hAnsi="Cambria Math"/>
          <w:sz w:val="24"/>
          <w:szCs w:val="24"/>
        </w:rPr>
        <w:t>Tuttavia, nel momento in cui uno dei due diritti viene violato, allora dovrebbe suonare un campanello d’allarme, un chiaro segnale che qualcosa non va.</w:t>
      </w:r>
      <w:r w:rsidR="00ED4478">
        <w:rPr>
          <w:rFonts w:ascii="Cambria Math" w:hAnsi="Cambria Math"/>
          <w:sz w:val="24"/>
          <w:szCs w:val="24"/>
        </w:rPr>
        <w:t xml:space="preserve"> </w:t>
      </w:r>
      <w:r w:rsidRPr="00ED4478">
        <w:rPr>
          <w:rFonts w:ascii="Cambria Math" w:hAnsi="Cambria Math"/>
          <w:sz w:val="24"/>
          <w:szCs w:val="24"/>
        </w:rPr>
        <w:t>In Italia, a fine 2012 oltre il 70% dei medici operante in strutture che dovrebbero garantire l’IVG è obiettore</w:t>
      </w:r>
      <w:r w:rsidRPr="00ED4478">
        <w:rPr>
          <w:rStyle w:val="Rimandonotaapidipagina"/>
          <w:rFonts w:ascii="Cambria Math" w:hAnsi="Cambria Math"/>
          <w:sz w:val="24"/>
          <w:szCs w:val="24"/>
        </w:rPr>
        <w:footnoteReference w:id="5"/>
      </w:r>
      <w:r w:rsidRPr="00ED4478">
        <w:rPr>
          <w:rFonts w:ascii="Cambria Math" w:hAnsi="Cambria Math"/>
          <w:sz w:val="24"/>
          <w:szCs w:val="24"/>
        </w:rPr>
        <w:t xml:space="preserve">, con punte del 100% in alcuni ospedali (tutt’altro che casi isolati, come già scritto sopra). Nessuna regione, ad esclusione della </w:t>
      </w:r>
      <w:proofErr w:type="spellStart"/>
      <w:r w:rsidRPr="00ED4478">
        <w:rPr>
          <w:rFonts w:ascii="Cambria Math" w:hAnsi="Cambria Math"/>
          <w:sz w:val="24"/>
          <w:szCs w:val="24"/>
        </w:rPr>
        <w:t>Val</w:t>
      </w:r>
      <w:proofErr w:type="spellEnd"/>
      <w:r w:rsidRPr="00ED4478">
        <w:rPr>
          <w:rFonts w:ascii="Cambria Math" w:hAnsi="Cambria Math"/>
          <w:sz w:val="24"/>
          <w:szCs w:val="24"/>
        </w:rPr>
        <w:t xml:space="preserve"> D’Aosta, ha meno del 50% di medici obiettori.</w:t>
      </w:r>
    </w:p>
    <w:p w:rsidR="00D253E5" w:rsidRPr="00ED4478" w:rsidRDefault="00D253E5" w:rsidP="00D253E5">
      <w:pPr>
        <w:ind w:firstLine="708"/>
        <w:jc w:val="both"/>
        <w:rPr>
          <w:rFonts w:ascii="Cambria Math" w:hAnsi="Cambria Math"/>
          <w:sz w:val="24"/>
          <w:szCs w:val="24"/>
        </w:rPr>
      </w:pPr>
      <w:r w:rsidRPr="00ED4478">
        <w:rPr>
          <w:rFonts w:ascii="Cambria Math" w:hAnsi="Cambria Math"/>
          <w:sz w:val="24"/>
          <w:szCs w:val="24"/>
        </w:rPr>
        <w:t>Ad oggi, la Regione Marche ha adottato due sistemi per ovviare ai problemi relativi agli ospedali sopra citati:</w:t>
      </w:r>
    </w:p>
    <w:p w:rsidR="00D253E5" w:rsidRPr="00ED4478" w:rsidRDefault="00D253E5" w:rsidP="00D253E5">
      <w:pPr>
        <w:pStyle w:val="Paragrafoelenco"/>
        <w:numPr>
          <w:ilvl w:val="0"/>
          <w:numId w:val="1"/>
        </w:numPr>
        <w:jc w:val="both"/>
        <w:rPr>
          <w:rFonts w:ascii="Cambria Math" w:hAnsi="Cambria Math"/>
          <w:sz w:val="24"/>
          <w:szCs w:val="24"/>
        </w:rPr>
      </w:pPr>
      <w:r w:rsidRPr="00ED4478">
        <w:rPr>
          <w:rFonts w:ascii="Cambria Math" w:hAnsi="Cambria Math"/>
          <w:sz w:val="24"/>
          <w:szCs w:val="24"/>
        </w:rPr>
        <w:t>mobilità del personale: personale non obiettore viene mobilitato, per un limitato periodo di tempo, dalla propria struttura ospedaliera originale ad una in cui il personale medico è al 100% obiettore. Questa soluzione è stata adottata ad esempio a Jesi, dove 2 volte al mese operano medici non obiettori provenienti dall’ospedale di Senigallia;</w:t>
      </w:r>
    </w:p>
    <w:p w:rsidR="004B0153" w:rsidRDefault="00D253E5" w:rsidP="00D253E5">
      <w:pPr>
        <w:pStyle w:val="Paragrafoelenco"/>
        <w:numPr>
          <w:ilvl w:val="0"/>
          <w:numId w:val="1"/>
        </w:numPr>
        <w:jc w:val="both"/>
        <w:rPr>
          <w:rFonts w:ascii="Cambria Math" w:hAnsi="Cambria Math"/>
          <w:sz w:val="24"/>
          <w:szCs w:val="24"/>
        </w:rPr>
      </w:pPr>
      <w:r w:rsidRPr="00ED4478">
        <w:rPr>
          <w:rFonts w:ascii="Cambria Math" w:hAnsi="Cambria Math"/>
          <w:sz w:val="24"/>
          <w:szCs w:val="24"/>
        </w:rPr>
        <w:t>convenzione con cliniche private: la Regione si impegna a sostenere economicamente le donne che richiedono l’IVG in zone dove l’ospedale di riferimento non esegue il servizio, al fine di eseguir</w:t>
      </w:r>
      <w:r w:rsidR="004B0153">
        <w:rPr>
          <w:rFonts w:ascii="Cambria Math" w:hAnsi="Cambria Math"/>
          <w:sz w:val="24"/>
          <w:szCs w:val="24"/>
        </w:rPr>
        <w:t>e l’IVG in una clinica privata.</w:t>
      </w:r>
    </w:p>
    <w:p w:rsidR="00D253E5" w:rsidRPr="004B0153" w:rsidRDefault="00D253E5" w:rsidP="004B0153">
      <w:pPr>
        <w:jc w:val="both"/>
        <w:rPr>
          <w:rFonts w:ascii="Cambria Math" w:hAnsi="Cambria Math"/>
          <w:sz w:val="24"/>
          <w:szCs w:val="24"/>
        </w:rPr>
      </w:pPr>
      <w:r w:rsidRPr="004B0153">
        <w:rPr>
          <w:rFonts w:ascii="Cambria Math" w:hAnsi="Cambria Math"/>
          <w:sz w:val="24"/>
          <w:szCs w:val="24"/>
        </w:rPr>
        <w:t>Purtroppo, queste due soluzioni non risolvono il problema in toto: la mobilità impedisce costanza e tempestività del servizio, mentre le convenzioni rendono comunque difficoltoso il ricorso all’IVG per donne che abbiano difficoltà economiche e logistiche nello spostarsi in località distanti alla propria zona di residenza.</w:t>
      </w:r>
    </w:p>
    <w:p w:rsidR="00D253E5" w:rsidRPr="00ED4478" w:rsidRDefault="00D253E5" w:rsidP="00D253E5">
      <w:pPr>
        <w:ind w:firstLine="708"/>
        <w:jc w:val="both"/>
        <w:rPr>
          <w:rFonts w:ascii="Cambria Math" w:hAnsi="Cambria Math"/>
          <w:sz w:val="24"/>
          <w:szCs w:val="24"/>
        </w:rPr>
      </w:pPr>
      <w:r w:rsidRPr="00ED4478">
        <w:rPr>
          <w:rFonts w:ascii="Cambria Math" w:hAnsi="Cambria Math"/>
          <w:sz w:val="24"/>
          <w:szCs w:val="24"/>
        </w:rPr>
        <w:t xml:space="preserve">Come Giovani Democratici della Provincia di Ancona, avanziamo pertanto alcune proposte per </w:t>
      </w:r>
      <w:r w:rsidR="004B0153">
        <w:rPr>
          <w:rFonts w:ascii="Cambria Math" w:hAnsi="Cambria Math"/>
          <w:sz w:val="24"/>
          <w:szCs w:val="24"/>
        </w:rPr>
        <w:t>garantire la fruibilità</w:t>
      </w:r>
      <w:r w:rsidRPr="00ED4478">
        <w:rPr>
          <w:rFonts w:ascii="Cambria Math" w:hAnsi="Cambria Math"/>
          <w:sz w:val="24"/>
          <w:szCs w:val="24"/>
        </w:rPr>
        <w:t xml:space="preserve"> del servizio:</w:t>
      </w:r>
    </w:p>
    <w:p w:rsidR="00D253E5" w:rsidRPr="00ED4478" w:rsidRDefault="00D253E5" w:rsidP="00D253E5">
      <w:pPr>
        <w:pStyle w:val="Paragrafoelenco"/>
        <w:numPr>
          <w:ilvl w:val="2"/>
          <w:numId w:val="2"/>
        </w:numPr>
        <w:jc w:val="both"/>
        <w:rPr>
          <w:rFonts w:ascii="Cambria Math" w:hAnsi="Cambria Math"/>
          <w:sz w:val="24"/>
          <w:szCs w:val="24"/>
        </w:rPr>
      </w:pPr>
      <w:r w:rsidRPr="00ED4478">
        <w:rPr>
          <w:rFonts w:ascii="Cambria Math" w:hAnsi="Cambria Math"/>
          <w:i/>
          <w:sz w:val="24"/>
          <w:szCs w:val="24"/>
        </w:rPr>
        <w:t>Bandi d’assunzione con quote riservate</w:t>
      </w:r>
      <w:r w:rsidRPr="00ED4478">
        <w:rPr>
          <w:rFonts w:ascii="Cambria Math" w:hAnsi="Cambria Math"/>
          <w:sz w:val="24"/>
          <w:szCs w:val="24"/>
        </w:rPr>
        <w:t xml:space="preserve">: </w:t>
      </w:r>
      <w:r w:rsidR="004B0153" w:rsidRPr="00ED4478">
        <w:rPr>
          <w:rFonts w:ascii="Cambria Math" w:hAnsi="Cambria Math"/>
          <w:sz w:val="24"/>
          <w:szCs w:val="24"/>
        </w:rPr>
        <w:t>prendendo l’esempio della Regione Puglia e della relativa sentenza del TAR della Puglia del 2010, nonché della Regione Lazio e</w:t>
      </w:r>
      <w:r w:rsidR="004B0153">
        <w:rPr>
          <w:rFonts w:ascii="Cambria Math" w:hAnsi="Cambria Math"/>
          <w:sz w:val="24"/>
          <w:szCs w:val="24"/>
        </w:rPr>
        <w:t xml:space="preserve"> </w:t>
      </w:r>
      <w:r w:rsidR="004B0153" w:rsidRPr="00ED4478">
        <w:rPr>
          <w:rFonts w:ascii="Cambria Math" w:hAnsi="Cambria Math"/>
          <w:sz w:val="24"/>
          <w:szCs w:val="24"/>
        </w:rPr>
        <w:t>della relativa sentenza del TAR del</w:t>
      </w:r>
      <w:r w:rsidR="004B0153">
        <w:rPr>
          <w:rFonts w:ascii="Cambria Math" w:hAnsi="Cambria Math"/>
          <w:sz w:val="24"/>
          <w:szCs w:val="24"/>
        </w:rPr>
        <w:t xml:space="preserve"> Lazio</w:t>
      </w:r>
      <w:r w:rsidR="004B0153" w:rsidRPr="00ED4478">
        <w:rPr>
          <w:rFonts w:ascii="Cambria Math" w:hAnsi="Cambria Math"/>
          <w:sz w:val="24"/>
          <w:szCs w:val="24"/>
        </w:rPr>
        <w:t xml:space="preserve"> del 2016</w:t>
      </w:r>
      <w:r w:rsidRPr="00ED4478">
        <w:rPr>
          <w:rFonts w:ascii="Cambria Math" w:hAnsi="Cambria Math"/>
          <w:sz w:val="24"/>
          <w:szCs w:val="24"/>
        </w:rPr>
        <w:t>, la Regione Marche potrebbe prevedere bandi d’assunzione con pari quote per medici obiettori e non obiettori all’interno degli ospedali pubblici, e bandi d’assunzione riservate a medici non obiettori per i consultori. Questo sistema dovrebbe essere però sperimentato: la legge 194/78 prevede che un medico possa fare richiesta di obiezione di coscienza in qualsiasi momento, quindi un medico entrato in quota non-obiettore potrebbe far richiesta successivamente.</w:t>
      </w:r>
    </w:p>
    <w:p w:rsidR="00D253E5" w:rsidRPr="00ED4478" w:rsidRDefault="00D253E5" w:rsidP="00D253E5">
      <w:pPr>
        <w:pStyle w:val="Paragrafoelenco"/>
        <w:numPr>
          <w:ilvl w:val="2"/>
          <w:numId w:val="2"/>
        </w:numPr>
        <w:jc w:val="both"/>
        <w:rPr>
          <w:rFonts w:ascii="Cambria Math" w:hAnsi="Cambria Math"/>
          <w:sz w:val="24"/>
          <w:szCs w:val="24"/>
        </w:rPr>
      </w:pPr>
      <w:r w:rsidRPr="00ED4478">
        <w:rPr>
          <w:rFonts w:ascii="Cambria Math" w:hAnsi="Cambria Math"/>
          <w:i/>
          <w:sz w:val="24"/>
          <w:szCs w:val="24"/>
        </w:rPr>
        <w:t>Differenziazione economica tra medici obiettori e non</w:t>
      </w:r>
      <w:r w:rsidRPr="00ED4478">
        <w:rPr>
          <w:rFonts w:ascii="Cambria Math" w:hAnsi="Cambria Math"/>
          <w:sz w:val="24"/>
          <w:szCs w:val="24"/>
        </w:rPr>
        <w:t xml:space="preserve">: una volta preso atto che l’obiezione di coscienza impedisce, de facto, ad un medico di garantire gli stessi servizi lavorativi per cui viene pagato un medico non obiettore, si potrebbe pensare </w:t>
      </w:r>
      <w:r w:rsidRPr="00ED4478">
        <w:rPr>
          <w:rFonts w:ascii="Cambria Math" w:hAnsi="Cambria Math"/>
          <w:sz w:val="24"/>
          <w:szCs w:val="24"/>
        </w:rPr>
        <w:lastRenderedPageBreak/>
        <w:t>ad una differenziazione economica per le due figure, con un bonus economico a prestazione per medici che praticano IVG. Tale soluzione non risulterebbe in uno scompenso economico per i medici obiettori. In questo modo, si troverebbe anche una soluzione (seppur temporanea) alla discriminazione di stampo economico e lavorativo denunciata dal Consiglio d’Europa.</w:t>
      </w:r>
    </w:p>
    <w:p w:rsidR="00D253E5" w:rsidRPr="00ED4478" w:rsidRDefault="00D253E5" w:rsidP="00D253E5">
      <w:pPr>
        <w:pStyle w:val="Paragrafoelenco"/>
        <w:numPr>
          <w:ilvl w:val="2"/>
          <w:numId w:val="2"/>
        </w:numPr>
        <w:jc w:val="both"/>
        <w:rPr>
          <w:rFonts w:ascii="Cambria Math" w:hAnsi="Cambria Math"/>
          <w:sz w:val="24"/>
          <w:szCs w:val="24"/>
        </w:rPr>
      </w:pPr>
      <w:r w:rsidRPr="00ED4478">
        <w:rPr>
          <w:rFonts w:ascii="Cambria Math" w:hAnsi="Cambria Math"/>
          <w:i/>
          <w:sz w:val="24"/>
          <w:szCs w:val="24"/>
        </w:rPr>
        <w:t>Introduzione di una prestazione sostitutiva</w:t>
      </w:r>
      <w:r w:rsidRPr="00ED4478">
        <w:rPr>
          <w:rFonts w:ascii="Cambria Math" w:hAnsi="Cambria Math"/>
          <w:sz w:val="24"/>
          <w:szCs w:val="24"/>
        </w:rPr>
        <w:t>: questa proposta richiede all’obiettore di coscienza una maggior responsabilizzazione. In particolare, gli viene richiesto di accettare, assieme al diritto a non praticare IVG o procedure ad esso collegate, anche il dovere di dare disponibilità per p</w:t>
      </w:r>
      <w:r w:rsidR="00D9230F">
        <w:rPr>
          <w:rFonts w:ascii="Cambria Math" w:hAnsi="Cambria Math"/>
          <w:sz w:val="24"/>
          <w:szCs w:val="24"/>
        </w:rPr>
        <w:t>restazioni mediche sostitutive,</w:t>
      </w:r>
      <w:r w:rsidRPr="00ED4478">
        <w:rPr>
          <w:rFonts w:ascii="Cambria Math" w:hAnsi="Cambria Math"/>
          <w:sz w:val="24"/>
          <w:szCs w:val="24"/>
        </w:rPr>
        <w:t xml:space="preserve"> non necessariamente inerenti al proprio campo di specializzazione. In questo modo, si evita anche che chi richieda l’obiezione di coscienza lo faccia (anche) per ottenere un carico di lavoro meno pesante.</w:t>
      </w:r>
    </w:p>
    <w:p w:rsidR="00D253E5" w:rsidRPr="00ED4478" w:rsidRDefault="00D253E5" w:rsidP="00D253E5">
      <w:pPr>
        <w:pStyle w:val="Paragrafoelenco"/>
        <w:numPr>
          <w:ilvl w:val="2"/>
          <w:numId w:val="2"/>
        </w:numPr>
        <w:jc w:val="both"/>
        <w:rPr>
          <w:rFonts w:ascii="Cambria Math" w:hAnsi="Cambria Math"/>
          <w:sz w:val="24"/>
          <w:szCs w:val="24"/>
        </w:rPr>
      </w:pPr>
      <w:r w:rsidRPr="00ED4478">
        <w:rPr>
          <w:rFonts w:ascii="Cambria Math" w:hAnsi="Cambria Math"/>
          <w:i/>
          <w:sz w:val="24"/>
          <w:szCs w:val="24"/>
        </w:rPr>
        <w:t>Differenziazione delle strutture mediche</w:t>
      </w:r>
      <w:r w:rsidRPr="00ED4478">
        <w:rPr>
          <w:rFonts w:ascii="Cambria Math" w:hAnsi="Cambria Math"/>
          <w:sz w:val="24"/>
          <w:szCs w:val="24"/>
        </w:rPr>
        <w:t xml:space="preserve">: sul modello del National </w:t>
      </w:r>
      <w:proofErr w:type="spellStart"/>
      <w:r w:rsidRPr="00ED4478">
        <w:rPr>
          <w:rFonts w:ascii="Cambria Math" w:hAnsi="Cambria Math"/>
          <w:sz w:val="24"/>
          <w:szCs w:val="24"/>
        </w:rPr>
        <w:t>Health</w:t>
      </w:r>
      <w:proofErr w:type="spellEnd"/>
      <w:r w:rsidRPr="00ED4478">
        <w:rPr>
          <w:rFonts w:ascii="Cambria Math" w:hAnsi="Cambria Math"/>
          <w:sz w:val="24"/>
          <w:szCs w:val="24"/>
        </w:rPr>
        <w:t xml:space="preserve"> Service del Regno Unito, una suddivisione dei centri ospedalieri in abortivi e natali potrebbe migliorare la situazione. In particolare, sarebbe d’auspicio la progettazione di almeno un centro abortivo in ogni ASUR, dove venga richiesto che il personale medico non obiettore non sia mai inferiore al 50% </w:t>
      </w:r>
      <w:r w:rsidR="004B0153" w:rsidRPr="00ED4478">
        <w:rPr>
          <w:rFonts w:ascii="Cambria Math" w:hAnsi="Cambria Math"/>
          <w:sz w:val="24"/>
          <w:szCs w:val="24"/>
        </w:rPr>
        <w:t>ad ogni turno lavorativo</w:t>
      </w:r>
      <w:r w:rsidR="004B0153">
        <w:rPr>
          <w:rFonts w:ascii="Cambria Math" w:hAnsi="Cambria Math"/>
          <w:sz w:val="24"/>
          <w:szCs w:val="24"/>
        </w:rPr>
        <w:t xml:space="preserve"> per ogni tipo di specializzazione</w:t>
      </w:r>
      <w:r w:rsidR="004B0153" w:rsidRPr="00ED4478">
        <w:rPr>
          <w:rFonts w:ascii="Cambria Math" w:hAnsi="Cambria Math"/>
          <w:sz w:val="24"/>
          <w:szCs w:val="24"/>
        </w:rPr>
        <w:t xml:space="preserve">, e dove la mobilità sia limitata ai medici obiettori in surplus da tali strutture a strutture ospedaliere natali </w:t>
      </w:r>
      <w:r w:rsidRPr="00ED4478">
        <w:rPr>
          <w:rFonts w:ascii="Cambria Math" w:hAnsi="Cambria Math"/>
          <w:sz w:val="24"/>
          <w:szCs w:val="24"/>
        </w:rPr>
        <w:t>Il problema di questa ipotesi rischia di essere il basso numero di strutture abortive e la conseguente ghettizzazione di medici non obiettori, in virtù proprio del rapporto 70%-30% di medici obiettori e non obiettori nelle Marche. Potrebbe essere necessario un periodo di sperimentazione.</w:t>
      </w:r>
    </w:p>
    <w:p w:rsidR="00D253E5" w:rsidRPr="00ED4478" w:rsidRDefault="00D253E5" w:rsidP="00D253E5">
      <w:pPr>
        <w:pStyle w:val="Paragrafoelenco"/>
        <w:numPr>
          <w:ilvl w:val="2"/>
          <w:numId w:val="2"/>
        </w:numPr>
        <w:jc w:val="both"/>
        <w:rPr>
          <w:rFonts w:ascii="Cambria Math" w:hAnsi="Cambria Math"/>
          <w:sz w:val="24"/>
          <w:szCs w:val="24"/>
        </w:rPr>
      </w:pPr>
      <w:r w:rsidRPr="00ED4478">
        <w:rPr>
          <w:rFonts w:ascii="Cambria Math" w:hAnsi="Cambria Math"/>
          <w:i/>
          <w:sz w:val="24"/>
          <w:szCs w:val="24"/>
        </w:rPr>
        <w:t xml:space="preserve">Rilancio </w:t>
      </w:r>
      <w:r w:rsidR="004B0153" w:rsidRPr="00ED4478">
        <w:rPr>
          <w:rFonts w:ascii="Cambria Math" w:hAnsi="Cambria Math"/>
          <w:i/>
          <w:sz w:val="24"/>
          <w:szCs w:val="24"/>
        </w:rPr>
        <w:t>del corretto funzionamento dei consultori pubblici</w:t>
      </w:r>
      <w:r w:rsidR="004B0153" w:rsidRPr="00ED4478">
        <w:rPr>
          <w:rFonts w:ascii="Cambria Math" w:hAnsi="Cambria Math"/>
          <w:sz w:val="24"/>
          <w:szCs w:val="24"/>
        </w:rPr>
        <w:t>: i consultori, ad oggi, sono stati svuotati della loro ragion d’essere. Ad essi deve essere riconosciuto e garantito il ruolo, fondamentale, di assistenza alle donne che si rivolgono a loro; il ruolo di punto focale di informazione per tutte le pratiche necessarie all’accesso all’IVG, burocratiche o mediche che siano; il ruolo di promotori della salute della donna. Ai consultori, inoltre, potrebbe essere demandato il compito di fare corretta informazione sulle pratiche abortive, a livello medico e culturale, per le donne provenienti da Paesi extracomunitari, per evitare l’attuale abuso di ricorso reiterato all’IVG.</w:t>
      </w:r>
      <w:r w:rsidR="004B0153">
        <w:rPr>
          <w:rFonts w:ascii="Cambria Math" w:hAnsi="Cambria Math"/>
          <w:sz w:val="24"/>
          <w:szCs w:val="24"/>
        </w:rPr>
        <w:t xml:space="preserve"> Sarebbe inoltre opportuno far assistere la donna che ricorre all’IVG da un team di specialisti (ginecologi, ostetrici, chirurghi, psicologi, ecc), il quale possa garantirle il corretto svolgimento della preparazione, dell’operazione, e del decorso della procedura </w:t>
      </w:r>
      <w:r w:rsidR="00D9230F">
        <w:rPr>
          <w:rFonts w:ascii="Cambria Math" w:hAnsi="Cambria Math"/>
          <w:sz w:val="24"/>
          <w:szCs w:val="24"/>
        </w:rPr>
        <w:t>abortiva.</w:t>
      </w:r>
    </w:p>
    <w:p w:rsidR="00D253E5" w:rsidRPr="00ED4478" w:rsidRDefault="00D253E5" w:rsidP="00D253E5">
      <w:pPr>
        <w:pStyle w:val="Paragrafoelenco"/>
        <w:numPr>
          <w:ilvl w:val="2"/>
          <w:numId w:val="2"/>
        </w:numPr>
        <w:jc w:val="both"/>
        <w:rPr>
          <w:rFonts w:ascii="Cambria Math" w:hAnsi="Cambria Math"/>
          <w:sz w:val="24"/>
          <w:szCs w:val="24"/>
        </w:rPr>
      </w:pPr>
      <w:r w:rsidRPr="004B0153">
        <w:rPr>
          <w:rFonts w:ascii="Cambria Math" w:hAnsi="Cambria Math"/>
          <w:i/>
          <w:sz w:val="24"/>
          <w:szCs w:val="24"/>
        </w:rPr>
        <w:t>Promozione di corsi di educazione alla sessualità e alla prevenzione nelle scuole</w:t>
      </w:r>
      <w:r w:rsidRPr="004B0153">
        <w:rPr>
          <w:rFonts w:ascii="Cambria Math" w:hAnsi="Cambria Math"/>
          <w:sz w:val="24"/>
          <w:szCs w:val="24"/>
        </w:rPr>
        <w:t xml:space="preserve">: in assenza di un programma unico per l’intero territorio nazionale, la Regione Marche dovrebbe farsi promotrice dell’introduzione nelle scuole di corsi che educhino, </w:t>
      </w:r>
      <w:r w:rsidR="004B0153" w:rsidRPr="00ED4478">
        <w:rPr>
          <w:rFonts w:ascii="Cambria Math" w:hAnsi="Cambria Math"/>
          <w:sz w:val="24"/>
          <w:szCs w:val="24"/>
        </w:rPr>
        <w:t xml:space="preserve">già fin dalle scuole elementari, ad un corretto approccio alla sessualità e alle tecniche </w:t>
      </w:r>
      <w:r w:rsidR="004B0153">
        <w:rPr>
          <w:rFonts w:ascii="Cambria Math" w:hAnsi="Cambria Math"/>
          <w:sz w:val="24"/>
          <w:szCs w:val="24"/>
        </w:rPr>
        <w:t xml:space="preserve">di </w:t>
      </w:r>
      <w:r w:rsidR="004B0153" w:rsidRPr="00ED4478">
        <w:rPr>
          <w:rFonts w:ascii="Cambria Math" w:hAnsi="Cambria Math"/>
          <w:sz w:val="24"/>
          <w:szCs w:val="24"/>
        </w:rPr>
        <w:t>prevenzione</w:t>
      </w:r>
      <w:r w:rsidR="004B0153">
        <w:rPr>
          <w:rFonts w:ascii="Cambria Math" w:hAnsi="Cambria Math"/>
          <w:sz w:val="24"/>
          <w:szCs w:val="24"/>
        </w:rPr>
        <w:t xml:space="preserve"> contro la diffusione delle malattie sessualmente trasmissibili. All’interno di questo programma, potrebbe risultare utile aprire un dibattito sull’opportunità di allargare la vaccinazione contro il papilloma virus anche alla popolazione maschile</w:t>
      </w:r>
      <w:r w:rsidR="004B0153" w:rsidRPr="00ED4478">
        <w:rPr>
          <w:rFonts w:ascii="Cambria Math" w:hAnsi="Cambria Math"/>
          <w:sz w:val="24"/>
          <w:szCs w:val="24"/>
        </w:rPr>
        <w:t xml:space="preserve">. Sarebbe inoltre necessaria una maggiore sensibilizzazione, attraverso un’opportuna campagna informativa, proprio sui temi delle tecniche </w:t>
      </w:r>
      <w:r w:rsidR="004B0153" w:rsidRPr="00ED4478">
        <w:rPr>
          <w:rFonts w:ascii="Cambria Math" w:hAnsi="Cambria Math"/>
          <w:sz w:val="24"/>
          <w:szCs w:val="24"/>
        </w:rPr>
        <w:lastRenderedPageBreak/>
        <w:t>contraccettive, dei doveri dei medici che fanno ricorso all’obiezione di coscienza, e ai diritti dei cittadini che richiedono l’accesso a metodi</w:t>
      </w:r>
      <w:r w:rsidR="004B0153">
        <w:rPr>
          <w:rFonts w:ascii="Cambria Math" w:hAnsi="Cambria Math"/>
          <w:sz w:val="24"/>
          <w:szCs w:val="24"/>
        </w:rPr>
        <w:t xml:space="preserve"> di contraccezione d’emergenza, e all’IVG stessa.</w:t>
      </w:r>
    </w:p>
    <w:sectPr w:rsidR="00D253E5" w:rsidRPr="00ED4478" w:rsidSect="007A76F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B4B" w:rsidRDefault="00A56B4B" w:rsidP="00D253E5">
      <w:pPr>
        <w:spacing w:after="0" w:line="240" w:lineRule="auto"/>
      </w:pPr>
      <w:r>
        <w:separator/>
      </w:r>
    </w:p>
  </w:endnote>
  <w:endnote w:type="continuationSeparator" w:id="0">
    <w:p w:rsidR="00A56B4B" w:rsidRDefault="00A56B4B" w:rsidP="00D253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B4B" w:rsidRDefault="00A56B4B" w:rsidP="00D253E5">
      <w:pPr>
        <w:spacing w:after="0" w:line="240" w:lineRule="auto"/>
      </w:pPr>
      <w:r>
        <w:separator/>
      </w:r>
    </w:p>
  </w:footnote>
  <w:footnote w:type="continuationSeparator" w:id="0">
    <w:p w:rsidR="00A56B4B" w:rsidRDefault="00A56B4B" w:rsidP="00D253E5">
      <w:pPr>
        <w:spacing w:after="0" w:line="240" w:lineRule="auto"/>
      </w:pPr>
      <w:r>
        <w:continuationSeparator/>
      </w:r>
    </w:p>
  </w:footnote>
  <w:footnote w:id="1">
    <w:p w:rsidR="00D253E5" w:rsidRPr="00ED4478" w:rsidRDefault="00D253E5">
      <w:pPr>
        <w:pStyle w:val="Testonotaapidipagina"/>
        <w:rPr>
          <w:rFonts w:ascii="Cambria Math" w:hAnsi="Cambria Math"/>
          <w:sz w:val="18"/>
          <w:szCs w:val="18"/>
        </w:rPr>
      </w:pPr>
      <w:r w:rsidRPr="00ED4478">
        <w:rPr>
          <w:rStyle w:val="Rimandonotaapidipagina"/>
          <w:rFonts w:ascii="Cambria Math" w:hAnsi="Cambria Math"/>
          <w:sz w:val="18"/>
          <w:szCs w:val="18"/>
        </w:rPr>
        <w:footnoteRef/>
      </w:r>
      <w:r w:rsidRPr="00ED4478">
        <w:rPr>
          <w:rFonts w:ascii="Cambria Math" w:hAnsi="Cambria Math"/>
          <w:sz w:val="18"/>
          <w:szCs w:val="18"/>
        </w:rPr>
        <w:t xml:space="preserve"> </w:t>
      </w:r>
      <w:hyperlink r:id="rId1" w:tgtFrame="_blank" w:history="1">
        <w:r w:rsidRPr="00ED4478">
          <w:rPr>
            <w:rStyle w:val="Collegamentoipertestuale"/>
            <w:rFonts w:ascii="Cambria Math" w:hAnsi="Cambria Math"/>
            <w:color w:val="auto"/>
            <w:sz w:val="18"/>
            <w:szCs w:val="18"/>
          </w:rPr>
          <w:t>http://www.salute.gov.it/imgs/c_17_normativa_845_allegato.pdf</w:t>
        </w:r>
      </w:hyperlink>
    </w:p>
  </w:footnote>
  <w:footnote w:id="2">
    <w:p w:rsidR="00D253E5" w:rsidRPr="00ED4478" w:rsidRDefault="00D253E5">
      <w:pPr>
        <w:pStyle w:val="Testonotaapidipagina"/>
        <w:rPr>
          <w:rFonts w:ascii="Cambria Math" w:hAnsi="Cambria Math"/>
          <w:sz w:val="18"/>
          <w:szCs w:val="18"/>
        </w:rPr>
      </w:pPr>
      <w:r w:rsidRPr="00ED4478">
        <w:rPr>
          <w:rStyle w:val="Rimandonotaapidipagina"/>
          <w:rFonts w:ascii="Cambria Math" w:hAnsi="Cambria Math"/>
          <w:sz w:val="18"/>
          <w:szCs w:val="18"/>
        </w:rPr>
        <w:footnoteRef/>
      </w:r>
      <w:r w:rsidRPr="00ED4478">
        <w:rPr>
          <w:rFonts w:ascii="Cambria Math" w:hAnsi="Cambria Math"/>
          <w:sz w:val="18"/>
          <w:szCs w:val="18"/>
        </w:rPr>
        <w:t xml:space="preserve"> </w:t>
      </w:r>
      <w:hyperlink r:id="rId2" w:tgtFrame="_blank" w:history="1">
        <w:r w:rsidRPr="00ED4478">
          <w:rPr>
            <w:rStyle w:val="Collegamentoipertestuale"/>
            <w:rFonts w:ascii="Cambria Math" w:hAnsi="Cambria Math"/>
            <w:color w:val="auto"/>
            <w:sz w:val="18"/>
            <w:szCs w:val="18"/>
          </w:rPr>
          <w:t>http://www.giurcost.org/decisioni/1975/0027s-75.html</w:t>
        </w:r>
      </w:hyperlink>
    </w:p>
  </w:footnote>
  <w:footnote w:id="3">
    <w:p w:rsidR="00D253E5" w:rsidRPr="00ED4478" w:rsidRDefault="00D253E5">
      <w:pPr>
        <w:pStyle w:val="Testonotaapidipagina"/>
        <w:rPr>
          <w:rFonts w:ascii="Cambria Math" w:hAnsi="Cambria Math"/>
          <w:sz w:val="18"/>
          <w:szCs w:val="18"/>
        </w:rPr>
      </w:pPr>
      <w:r w:rsidRPr="00ED4478">
        <w:rPr>
          <w:rStyle w:val="Rimandonotaapidipagina"/>
          <w:rFonts w:ascii="Cambria Math" w:hAnsi="Cambria Math"/>
          <w:sz w:val="18"/>
          <w:szCs w:val="18"/>
        </w:rPr>
        <w:footnoteRef/>
      </w:r>
      <w:r w:rsidRPr="00ED4478">
        <w:rPr>
          <w:rFonts w:ascii="Cambria Math" w:hAnsi="Cambria Math"/>
          <w:sz w:val="18"/>
          <w:szCs w:val="18"/>
        </w:rPr>
        <w:t xml:space="preserve"> </w:t>
      </w:r>
      <w:hyperlink r:id="rId3" w:tgtFrame="_blank" w:history="1">
        <w:r w:rsidRPr="00ED4478">
          <w:rPr>
            <w:rStyle w:val="Collegamentoipertestuale"/>
            <w:rFonts w:ascii="Cambria Math" w:hAnsi="Cambria Math"/>
            <w:color w:val="auto"/>
            <w:sz w:val="18"/>
            <w:szCs w:val="18"/>
          </w:rPr>
          <w:t>https://rm.coe.int/CoERMPublicCommonSearchServices/DisplayDCTMContent?documentId=090000168047e179</w:t>
        </w:r>
      </w:hyperlink>
    </w:p>
  </w:footnote>
  <w:footnote w:id="4">
    <w:p w:rsidR="00D253E5" w:rsidRPr="00ED4478" w:rsidRDefault="00D253E5">
      <w:pPr>
        <w:pStyle w:val="Testonotaapidipagina"/>
        <w:rPr>
          <w:rFonts w:ascii="Cambria Math" w:hAnsi="Cambria Math"/>
          <w:sz w:val="18"/>
          <w:szCs w:val="18"/>
        </w:rPr>
      </w:pPr>
      <w:r w:rsidRPr="00ED4478">
        <w:rPr>
          <w:rStyle w:val="Rimandonotaapidipagina"/>
          <w:rFonts w:ascii="Cambria Math" w:hAnsi="Cambria Math"/>
          <w:sz w:val="18"/>
          <w:szCs w:val="18"/>
        </w:rPr>
        <w:footnoteRef/>
      </w:r>
      <w:r w:rsidRPr="00ED4478">
        <w:rPr>
          <w:rFonts w:ascii="Cambria Math" w:hAnsi="Cambria Math"/>
          <w:sz w:val="18"/>
          <w:szCs w:val="18"/>
        </w:rPr>
        <w:t xml:space="preserve"> </w:t>
      </w:r>
      <w:hyperlink r:id="rId4" w:tgtFrame="_blank" w:history="1">
        <w:r w:rsidRPr="00ED4478">
          <w:rPr>
            <w:rStyle w:val="Collegamentoipertestuale"/>
            <w:rFonts w:ascii="Cambria Math" w:hAnsi="Cambria Math"/>
            <w:color w:val="auto"/>
            <w:sz w:val="18"/>
            <w:szCs w:val="18"/>
          </w:rPr>
          <w:t>http://www.cgil.it/consiglio-europa-aborto-difficile-italia-camusso-sentenza-importante/</w:t>
        </w:r>
      </w:hyperlink>
    </w:p>
  </w:footnote>
  <w:footnote w:id="5">
    <w:p w:rsidR="00D253E5" w:rsidRDefault="00D253E5">
      <w:pPr>
        <w:pStyle w:val="Testonotaapidipagina"/>
      </w:pPr>
      <w:r w:rsidRPr="00ED4478">
        <w:rPr>
          <w:rStyle w:val="Rimandonotaapidipagina"/>
          <w:rFonts w:ascii="Cambria Math" w:hAnsi="Cambria Math"/>
          <w:sz w:val="18"/>
          <w:szCs w:val="18"/>
        </w:rPr>
        <w:footnoteRef/>
      </w:r>
      <w:r w:rsidRPr="00ED4478">
        <w:rPr>
          <w:rFonts w:ascii="Cambria Math" w:hAnsi="Cambria Math"/>
          <w:sz w:val="18"/>
          <w:szCs w:val="18"/>
        </w:rPr>
        <w:t xml:space="preserve"> </w:t>
      </w:r>
      <w:hyperlink r:id="rId5" w:tgtFrame="_blank" w:history="1">
        <w:r w:rsidR="00ED4478" w:rsidRPr="00ED4478">
          <w:rPr>
            <w:rStyle w:val="Collegamentoipertestuale"/>
            <w:rFonts w:ascii="Cambria Math" w:hAnsi="Cambria Math"/>
            <w:color w:val="auto"/>
            <w:sz w:val="18"/>
            <w:szCs w:val="18"/>
          </w:rPr>
          <w:t>http://www.salute.gov.it/imgs/C_17_pubblicazioni_1824_allegato.pdf</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D61BF"/>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CF218D5"/>
    <w:multiLevelType w:val="hybridMultilevel"/>
    <w:tmpl w:val="A9DC10DC"/>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footnotePr>
    <w:footnote w:id="-1"/>
    <w:footnote w:id="0"/>
  </w:footnotePr>
  <w:endnotePr>
    <w:endnote w:id="-1"/>
    <w:endnote w:id="0"/>
  </w:endnotePr>
  <w:compat/>
  <w:rsids>
    <w:rsidRoot w:val="00D253E5"/>
    <w:rsid w:val="0022612C"/>
    <w:rsid w:val="003519DA"/>
    <w:rsid w:val="004B0153"/>
    <w:rsid w:val="007A76F8"/>
    <w:rsid w:val="00904BF4"/>
    <w:rsid w:val="00A10F28"/>
    <w:rsid w:val="00A56B4B"/>
    <w:rsid w:val="00BB3048"/>
    <w:rsid w:val="00D253E5"/>
    <w:rsid w:val="00D74BFA"/>
    <w:rsid w:val="00D9230F"/>
    <w:rsid w:val="00DF4DAB"/>
    <w:rsid w:val="00ED4478"/>
    <w:rsid w:val="00F9146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76F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253E5"/>
    <w:rPr>
      <w:strike w:val="0"/>
      <w:dstrike w:val="0"/>
      <w:color w:val="365899"/>
      <w:u w:val="none"/>
      <w:effect w:val="none"/>
    </w:rPr>
  </w:style>
  <w:style w:type="character" w:customStyle="1" w:styleId="5yi1">
    <w:name w:val="_5yi_1"/>
    <w:basedOn w:val="Carpredefinitoparagrafo"/>
    <w:rsid w:val="00D253E5"/>
    <w:rPr>
      <w:i/>
      <w:iCs/>
    </w:rPr>
  </w:style>
  <w:style w:type="paragraph" w:styleId="Paragrafoelenco">
    <w:name w:val="List Paragraph"/>
    <w:basedOn w:val="Normale"/>
    <w:uiPriority w:val="34"/>
    <w:qFormat/>
    <w:rsid w:val="00D253E5"/>
    <w:pPr>
      <w:ind w:left="720"/>
      <w:contextualSpacing/>
    </w:pPr>
  </w:style>
  <w:style w:type="paragraph" w:styleId="Testonotaapidipagina">
    <w:name w:val="footnote text"/>
    <w:basedOn w:val="Normale"/>
    <w:link w:val="TestonotaapidipaginaCarattere"/>
    <w:uiPriority w:val="99"/>
    <w:semiHidden/>
    <w:unhideWhenUsed/>
    <w:rsid w:val="00D253E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253E5"/>
    <w:rPr>
      <w:sz w:val="20"/>
      <w:szCs w:val="20"/>
    </w:rPr>
  </w:style>
  <w:style w:type="character" w:styleId="Rimandonotaapidipagina">
    <w:name w:val="footnote reference"/>
    <w:basedOn w:val="Carpredefinitoparagrafo"/>
    <w:uiPriority w:val="99"/>
    <w:semiHidden/>
    <w:unhideWhenUsed/>
    <w:rsid w:val="00D253E5"/>
    <w:rPr>
      <w:vertAlign w:val="superscript"/>
    </w:rPr>
  </w:style>
</w:styles>
</file>

<file path=word/webSettings.xml><?xml version="1.0" encoding="utf-8"?>
<w:webSettings xmlns:r="http://schemas.openxmlformats.org/officeDocument/2006/relationships" xmlns:w="http://schemas.openxmlformats.org/wordprocessingml/2006/main">
  <w:divs>
    <w:div w:id="1915162530">
      <w:bodyDiv w:val="1"/>
      <w:marLeft w:val="0"/>
      <w:marRight w:val="0"/>
      <w:marTop w:val="0"/>
      <w:marBottom w:val="2580"/>
      <w:divBdr>
        <w:top w:val="none" w:sz="0" w:space="0" w:color="auto"/>
        <w:left w:val="none" w:sz="0" w:space="0" w:color="auto"/>
        <w:bottom w:val="none" w:sz="0" w:space="0" w:color="auto"/>
        <w:right w:val="none" w:sz="0" w:space="0" w:color="auto"/>
      </w:divBdr>
      <w:divsChild>
        <w:div w:id="31925947">
          <w:marLeft w:val="0"/>
          <w:marRight w:val="0"/>
          <w:marTop w:val="0"/>
          <w:marBottom w:val="0"/>
          <w:divBdr>
            <w:top w:val="none" w:sz="0" w:space="0" w:color="auto"/>
            <w:left w:val="none" w:sz="0" w:space="0" w:color="auto"/>
            <w:bottom w:val="none" w:sz="0" w:space="0" w:color="auto"/>
            <w:right w:val="none" w:sz="0" w:space="0" w:color="auto"/>
          </w:divBdr>
          <w:divsChild>
            <w:div w:id="589890273">
              <w:marLeft w:val="0"/>
              <w:marRight w:val="0"/>
              <w:marTop w:val="0"/>
              <w:marBottom w:val="0"/>
              <w:divBdr>
                <w:top w:val="none" w:sz="0" w:space="0" w:color="auto"/>
                <w:left w:val="none" w:sz="0" w:space="0" w:color="auto"/>
                <w:bottom w:val="none" w:sz="0" w:space="0" w:color="auto"/>
                <w:right w:val="none" w:sz="0" w:space="0" w:color="auto"/>
              </w:divBdr>
              <w:divsChild>
                <w:div w:id="554016">
                  <w:marLeft w:val="0"/>
                  <w:marRight w:val="0"/>
                  <w:marTop w:val="0"/>
                  <w:marBottom w:val="0"/>
                  <w:divBdr>
                    <w:top w:val="none" w:sz="0" w:space="0" w:color="auto"/>
                    <w:left w:val="none" w:sz="0" w:space="0" w:color="auto"/>
                    <w:bottom w:val="none" w:sz="0" w:space="0" w:color="auto"/>
                    <w:right w:val="none" w:sz="0" w:space="0" w:color="auto"/>
                  </w:divBdr>
                  <w:divsChild>
                    <w:div w:id="413016406">
                      <w:marLeft w:val="0"/>
                      <w:marRight w:val="0"/>
                      <w:marTop w:val="432"/>
                      <w:marBottom w:val="432"/>
                      <w:divBdr>
                        <w:top w:val="none" w:sz="0" w:space="0" w:color="auto"/>
                        <w:left w:val="none" w:sz="0" w:space="0" w:color="auto"/>
                        <w:bottom w:val="none" w:sz="0" w:space="0" w:color="auto"/>
                        <w:right w:val="none" w:sz="0" w:space="0" w:color="auto"/>
                      </w:divBdr>
                      <w:divsChild>
                        <w:div w:id="80493082">
                          <w:marLeft w:val="0"/>
                          <w:marRight w:val="0"/>
                          <w:marTop w:val="0"/>
                          <w:marBottom w:val="0"/>
                          <w:divBdr>
                            <w:top w:val="none" w:sz="0" w:space="0" w:color="auto"/>
                            <w:left w:val="none" w:sz="0" w:space="0" w:color="auto"/>
                            <w:bottom w:val="none" w:sz="0" w:space="0" w:color="auto"/>
                            <w:right w:val="none" w:sz="0" w:space="0" w:color="auto"/>
                          </w:divBdr>
                          <w:divsChild>
                            <w:div w:id="1546287543">
                              <w:marLeft w:val="0"/>
                              <w:marRight w:val="0"/>
                              <w:marTop w:val="0"/>
                              <w:marBottom w:val="0"/>
                              <w:divBdr>
                                <w:top w:val="none" w:sz="0" w:space="0" w:color="auto"/>
                                <w:left w:val="none" w:sz="0" w:space="0" w:color="auto"/>
                                <w:bottom w:val="none" w:sz="0" w:space="0" w:color="auto"/>
                                <w:right w:val="none" w:sz="0" w:space="0" w:color="auto"/>
                              </w:divBdr>
                              <w:divsChild>
                                <w:div w:id="895242795">
                                  <w:marLeft w:val="0"/>
                                  <w:marRight w:val="0"/>
                                  <w:marTop w:val="0"/>
                                  <w:marBottom w:val="0"/>
                                  <w:divBdr>
                                    <w:top w:val="none" w:sz="0" w:space="0" w:color="auto"/>
                                    <w:left w:val="none" w:sz="0" w:space="0" w:color="auto"/>
                                    <w:bottom w:val="none" w:sz="0" w:space="0" w:color="auto"/>
                                    <w:right w:val="none" w:sz="0" w:space="0" w:color="auto"/>
                                  </w:divBdr>
                                  <w:divsChild>
                                    <w:div w:id="1714843851">
                                      <w:marLeft w:val="0"/>
                                      <w:marRight w:val="0"/>
                                      <w:marTop w:val="0"/>
                                      <w:marBottom w:val="0"/>
                                      <w:divBdr>
                                        <w:top w:val="none" w:sz="0" w:space="0" w:color="auto"/>
                                        <w:left w:val="none" w:sz="0" w:space="0" w:color="auto"/>
                                        <w:bottom w:val="none" w:sz="0" w:space="0" w:color="auto"/>
                                        <w:right w:val="none" w:sz="0" w:space="0" w:color="auto"/>
                                      </w:divBdr>
                                      <w:divsChild>
                                        <w:div w:id="167720442">
                                          <w:marLeft w:val="0"/>
                                          <w:marRight w:val="0"/>
                                          <w:marTop w:val="0"/>
                                          <w:marBottom w:val="0"/>
                                          <w:divBdr>
                                            <w:top w:val="none" w:sz="0" w:space="0" w:color="auto"/>
                                            <w:left w:val="none" w:sz="0" w:space="0" w:color="auto"/>
                                            <w:bottom w:val="none" w:sz="0" w:space="0" w:color="auto"/>
                                            <w:right w:val="none" w:sz="0" w:space="0" w:color="auto"/>
                                          </w:divBdr>
                                        </w:div>
                                        <w:div w:id="1176843427">
                                          <w:marLeft w:val="0"/>
                                          <w:marRight w:val="0"/>
                                          <w:marTop w:val="0"/>
                                          <w:marBottom w:val="0"/>
                                          <w:divBdr>
                                            <w:top w:val="none" w:sz="0" w:space="0" w:color="auto"/>
                                            <w:left w:val="none" w:sz="0" w:space="0" w:color="auto"/>
                                            <w:bottom w:val="none" w:sz="0" w:space="0" w:color="auto"/>
                                            <w:right w:val="none" w:sz="0" w:space="0" w:color="auto"/>
                                          </w:divBdr>
                                        </w:div>
                                        <w:div w:id="1468470718">
                                          <w:marLeft w:val="0"/>
                                          <w:marRight w:val="0"/>
                                          <w:marTop w:val="0"/>
                                          <w:marBottom w:val="0"/>
                                          <w:divBdr>
                                            <w:top w:val="none" w:sz="0" w:space="0" w:color="auto"/>
                                            <w:left w:val="none" w:sz="0" w:space="0" w:color="auto"/>
                                            <w:bottom w:val="none" w:sz="0" w:space="0" w:color="auto"/>
                                            <w:right w:val="none" w:sz="0" w:space="0" w:color="auto"/>
                                          </w:divBdr>
                                        </w:div>
                                        <w:div w:id="905335483">
                                          <w:marLeft w:val="0"/>
                                          <w:marRight w:val="0"/>
                                          <w:marTop w:val="0"/>
                                          <w:marBottom w:val="0"/>
                                          <w:divBdr>
                                            <w:top w:val="none" w:sz="0" w:space="0" w:color="auto"/>
                                            <w:left w:val="none" w:sz="0" w:space="0" w:color="auto"/>
                                            <w:bottom w:val="none" w:sz="0" w:space="0" w:color="auto"/>
                                            <w:right w:val="none" w:sz="0" w:space="0" w:color="auto"/>
                                          </w:divBdr>
                                        </w:div>
                                        <w:div w:id="1906254278">
                                          <w:marLeft w:val="0"/>
                                          <w:marRight w:val="0"/>
                                          <w:marTop w:val="0"/>
                                          <w:marBottom w:val="0"/>
                                          <w:divBdr>
                                            <w:top w:val="none" w:sz="0" w:space="0" w:color="auto"/>
                                            <w:left w:val="none" w:sz="0" w:space="0" w:color="auto"/>
                                            <w:bottom w:val="none" w:sz="0" w:space="0" w:color="auto"/>
                                            <w:right w:val="none" w:sz="0" w:space="0" w:color="auto"/>
                                          </w:divBdr>
                                        </w:div>
                                        <w:div w:id="940334639">
                                          <w:marLeft w:val="0"/>
                                          <w:marRight w:val="0"/>
                                          <w:marTop w:val="0"/>
                                          <w:marBottom w:val="0"/>
                                          <w:divBdr>
                                            <w:top w:val="none" w:sz="0" w:space="0" w:color="auto"/>
                                            <w:left w:val="none" w:sz="0" w:space="0" w:color="auto"/>
                                            <w:bottom w:val="none" w:sz="0" w:space="0" w:color="auto"/>
                                            <w:right w:val="none" w:sz="0" w:space="0" w:color="auto"/>
                                          </w:divBdr>
                                        </w:div>
                                        <w:div w:id="1369800525">
                                          <w:marLeft w:val="0"/>
                                          <w:marRight w:val="0"/>
                                          <w:marTop w:val="0"/>
                                          <w:marBottom w:val="0"/>
                                          <w:divBdr>
                                            <w:top w:val="none" w:sz="0" w:space="0" w:color="auto"/>
                                            <w:left w:val="none" w:sz="0" w:space="0" w:color="auto"/>
                                            <w:bottom w:val="none" w:sz="0" w:space="0" w:color="auto"/>
                                            <w:right w:val="none" w:sz="0" w:space="0" w:color="auto"/>
                                          </w:divBdr>
                                        </w:div>
                                        <w:div w:id="170586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rm.coe.int/CoERMPublicCommonSearchServices/DisplayDCTMContent?documentId=090000168047e179" TargetMode="External"/><Relationship Id="rId2" Type="http://schemas.openxmlformats.org/officeDocument/2006/relationships/hyperlink" Target="http://www.giurcost.org/decisioni/1975/0027s-75.html" TargetMode="External"/><Relationship Id="rId1" Type="http://schemas.openxmlformats.org/officeDocument/2006/relationships/hyperlink" Target="http://www.salute.gov.it/imgs/c_17_normativa_845_allegato.pdf" TargetMode="External"/><Relationship Id="rId5" Type="http://schemas.openxmlformats.org/officeDocument/2006/relationships/hyperlink" Target="http://www.salute.gov.it/imgs/C_17_pubblicazioni_1824_allegato.pdf" TargetMode="External"/><Relationship Id="rId4" Type="http://schemas.openxmlformats.org/officeDocument/2006/relationships/hyperlink" Target="http://www.cgil.it/consiglio-europa-aborto-difficile-italia-camusso-sentenza-important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C0957B-89F4-455E-A2A6-96AACDBF7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1426</Words>
  <Characters>8131</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9538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Sly K</dc:creator>
  <cp:lastModifiedBy>Sly K</cp:lastModifiedBy>
  <cp:revision>6</cp:revision>
  <dcterms:created xsi:type="dcterms:W3CDTF">2016-09-11T02:04:00Z</dcterms:created>
  <dcterms:modified xsi:type="dcterms:W3CDTF">2016-10-01T12:49:00Z</dcterms:modified>
</cp:coreProperties>
</file>